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D0A" w:rsidRPr="00CD2D0A" w:rsidRDefault="00CD2D0A" w:rsidP="00CD2D0A">
      <w:pPr>
        <w:pStyle w:val="Datasheet1"/>
        <w:rPr>
          <w:lang w:val="pt-PT"/>
        </w:rPr>
      </w:pPr>
      <w:r w:rsidRPr="00CD2D0A">
        <w:rPr>
          <w:lang w:val="pt-PT"/>
        </w:rPr>
        <w:t>COXB3 WSP</w:t>
      </w:r>
    </w:p>
    <w:p w:rsidR="00CD2D0A" w:rsidRPr="00246786" w:rsidRDefault="00CD2D0A" w:rsidP="00CD2D0A">
      <w:pPr>
        <w:pStyle w:val="Datasheet3"/>
        <w:rPr>
          <w:lang w:val="pt-PT"/>
        </w:rPr>
      </w:pPr>
    </w:p>
    <w:p w:rsidR="00CD2D0A" w:rsidRPr="00CD2D0A" w:rsidRDefault="00CD2D0A" w:rsidP="00CD2D0A">
      <w:pPr>
        <w:pStyle w:val="Datasheet2"/>
        <w:rPr>
          <w:lang w:val="pt-PT"/>
        </w:rPr>
      </w:pPr>
      <w:r w:rsidRPr="00CD2D0A">
        <w:rPr>
          <w:lang w:val="pt-PT"/>
        </w:rPr>
        <w:t>COMPOSIÇÃO:</w:t>
      </w:r>
    </w:p>
    <w:p w:rsidR="00CD2D0A" w:rsidRPr="00246786" w:rsidRDefault="00CD2D0A" w:rsidP="00CD2D0A">
      <w:pPr>
        <w:pStyle w:val="Datasheet3"/>
        <w:rPr>
          <w:snapToGrid w:val="0"/>
          <w:lang w:val="pt-PT"/>
        </w:rPr>
      </w:pPr>
      <w:r w:rsidRPr="00246786">
        <w:rPr>
          <w:snapToGrid w:val="0"/>
          <w:lang w:val="pt-PT"/>
        </w:rPr>
        <w:t>Cada g contém:</w:t>
      </w:r>
    </w:p>
    <w:p w:rsidR="00CD2D0A" w:rsidRPr="00246786" w:rsidRDefault="00CD2D0A" w:rsidP="004F1D3F">
      <w:pPr>
        <w:pStyle w:val="Datasheet3"/>
        <w:tabs>
          <w:tab w:val="right" w:pos="3969"/>
          <w:tab w:val="left" w:pos="3997"/>
          <w:tab w:val="left" w:pos="4309"/>
        </w:tabs>
        <w:rPr>
          <w:snapToGrid w:val="0"/>
          <w:lang w:val="pt-PT"/>
        </w:rPr>
      </w:pPr>
      <w:r w:rsidRPr="00246786">
        <w:rPr>
          <w:snapToGrid w:val="0"/>
          <w:lang w:val="pt-PT"/>
        </w:rPr>
        <w:t>Sulfacloropirazina de sódio mono-hidratada</w:t>
      </w:r>
      <w:r w:rsidRPr="00246786">
        <w:rPr>
          <w:snapToGrid w:val="0"/>
          <w:lang w:val="pt-PT"/>
        </w:rPr>
        <w:tab/>
        <w:t>300</w:t>
      </w:r>
      <w:r w:rsidRPr="00246786">
        <w:rPr>
          <w:snapToGrid w:val="0"/>
          <w:lang w:val="pt-PT"/>
        </w:rPr>
        <w:tab/>
      </w:r>
      <w:r>
        <w:rPr>
          <w:snapToGrid w:val="0"/>
          <w:lang w:val="pt-PT"/>
        </w:rPr>
        <w:tab/>
      </w:r>
      <w:r w:rsidRPr="00246786">
        <w:rPr>
          <w:snapToGrid w:val="0"/>
          <w:lang w:val="pt-PT"/>
        </w:rPr>
        <w:t>mg</w:t>
      </w:r>
    </w:p>
    <w:p w:rsidR="00CD2D0A" w:rsidRPr="00246786" w:rsidRDefault="00CD2D0A" w:rsidP="00CD2D0A">
      <w:pPr>
        <w:pStyle w:val="Datasheet3"/>
        <w:rPr>
          <w:snapToGrid w:val="0"/>
          <w:lang w:val="pt-PT"/>
        </w:rPr>
      </w:pPr>
    </w:p>
    <w:p w:rsidR="00CD2D0A" w:rsidRPr="00CD2D0A" w:rsidRDefault="00CD2D0A" w:rsidP="00CD2D0A">
      <w:pPr>
        <w:pStyle w:val="Datasheet2"/>
        <w:rPr>
          <w:snapToGrid w:val="0"/>
          <w:lang w:val="pt-PT"/>
        </w:rPr>
      </w:pPr>
      <w:r w:rsidRPr="00CD2D0A">
        <w:rPr>
          <w:snapToGrid w:val="0"/>
          <w:lang w:val="pt-PT"/>
        </w:rPr>
        <w:t xml:space="preserve">DESCRIÇÃO: </w:t>
      </w:r>
    </w:p>
    <w:p w:rsidR="00CD2D0A" w:rsidRPr="00246786" w:rsidRDefault="00CD2D0A" w:rsidP="00CD2D0A">
      <w:pPr>
        <w:pStyle w:val="Datasheet3"/>
        <w:rPr>
          <w:snapToGrid w:val="0"/>
          <w:lang w:val="pt-PT"/>
        </w:rPr>
      </w:pPr>
      <w:r w:rsidRPr="00246786">
        <w:rPr>
          <w:snapToGrid w:val="0"/>
          <w:lang w:val="pt-PT"/>
        </w:rPr>
        <w:t>A sulfacloropirazina é um antibiótico que pertence ao grupo de sulfonamidas. A sulfacloropirazina é um antagonista competitivo do ácido paraminobenzoico, que é um precursor do ácido fólico em protozoários e bactérias. O ácido fólico é uma coenzima necessária para a síntese de ácidos nucleicos, pelo que, na presença de sulfacloropirazina, as bactérias e os protozoários sensíveis não se multiplicam.</w:t>
      </w:r>
    </w:p>
    <w:p w:rsidR="00CD2D0A" w:rsidRPr="00246786" w:rsidRDefault="00CD2D0A" w:rsidP="00CD2D0A">
      <w:pPr>
        <w:pStyle w:val="Datasheet3"/>
        <w:rPr>
          <w:snapToGrid w:val="0"/>
          <w:lang w:val="pt-PT"/>
        </w:rPr>
      </w:pPr>
    </w:p>
    <w:p w:rsidR="00CD2D0A" w:rsidRPr="00CD2D0A" w:rsidRDefault="00CD2D0A" w:rsidP="00CD2D0A">
      <w:pPr>
        <w:pStyle w:val="Datasheet2"/>
        <w:rPr>
          <w:snapToGrid w:val="0"/>
          <w:lang w:val="pt-PT"/>
        </w:rPr>
      </w:pPr>
      <w:r w:rsidRPr="00CD2D0A">
        <w:rPr>
          <w:snapToGrid w:val="0"/>
          <w:lang w:val="pt-PT"/>
        </w:rPr>
        <w:t>INDICAÇÕES:</w:t>
      </w:r>
    </w:p>
    <w:p w:rsidR="00CD2D0A" w:rsidRPr="00246786" w:rsidRDefault="00CD2D0A" w:rsidP="00CD2D0A">
      <w:pPr>
        <w:pStyle w:val="Datasheet3"/>
        <w:rPr>
          <w:snapToGrid w:val="0"/>
          <w:lang w:val="pt-PT"/>
        </w:rPr>
      </w:pPr>
      <w:r w:rsidRPr="00246786">
        <w:rPr>
          <w:snapToGrid w:val="0"/>
          <w:lang w:val="pt-PT"/>
        </w:rPr>
        <w:t xml:space="preserve">O </w:t>
      </w:r>
      <w:r w:rsidR="00446FCC">
        <w:rPr>
          <w:snapToGrid w:val="0"/>
          <w:lang w:val="pt-PT"/>
        </w:rPr>
        <w:t>CoxB3</w:t>
      </w:r>
      <w:r>
        <w:rPr>
          <w:snapToGrid w:val="0"/>
          <w:lang w:val="pt-PT"/>
        </w:rPr>
        <w:t>wsp</w:t>
      </w:r>
      <w:r w:rsidRPr="00246786">
        <w:rPr>
          <w:snapToGrid w:val="0"/>
          <w:lang w:val="pt-PT"/>
        </w:rPr>
        <w:t xml:space="preserve"> é indicado para o tratamento do</w:t>
      </w:r>
      <w:r>
        <w:rPr>
          <w:snapToGrid w:val="0"/>
          <w:lang w:val="pt-PT"/>
        </w:rPr>
        <w:t xml:space="preserve"> </w:t>
      </w:r>
      <w:r w:rsidRPr="00246786">
        <w:rPr>
          <w:snapToGrid w:val="0"/>
          <w:lang w:val="pt-PT"/>
        </w:rPr>
        <w:t>of coccidiose em aves domésticas devido a infeção por espécies de Eimeria, tifo aviário causado por infeção com Salmonella gallinarum e cólera aviária causada por infeção com Pasteurella multocida.</w:t>
      </w:r>
    </w:p>
    <w:p w:rsidR="00CD2D0A" w:rsidRPr="00CD2D0A" w:rsidRDefault="00CD2D0A" w:rsidP="00CD2D0A">
      <w:pPr>
        <w:pStyle w:val="Datasheet3"/>
        <w:rPr>
          <w:snapToGrid w:val="0"/>
          <w:lang w:val="pt-PT"/>
        </w:rPr>
      </w:pPr>
    </w:p>
    <w:p w:rsidR="00CD2D0A" w:rsidRPr="00246786" w:rsidRDefault="00CD2D0A" w:rsidP="00CD2D0A">
      <w:pPr>
        <w:pStyle w:val="Datasheet2"/>
        <w:rPr>
          <w:snapToGrid w:val="0"/>
          <w:lang w:val="pt-PT"/>
        </w:rPr>
      </w:pPr>
      <w:r w:rsidRPr="00246786">
        <w:rPr>
          <w:snapToGrid w:val="0"/>
          <w:lang w:val="pt-PT"/>
        </w:rPr>
        <w:t>CONTRAINDICAÇÕES:</w:t>
      </w:r>
    </w:p>
    <w:p w:rsidR="00CD2D0A" w:rsidRPr="00246786" w:rsidRDefault="00CD2D0A" w:rsidP="00CD2D0A">
      <w:pPr>
        <w:pStyle w:val="Datasheet3"/>
        <w:rPr>
          <w:snapToGrid w:val="0"/>
          <w:lang w:val="pt-PT"/>
        </w:rPr>
      </w:pPr>
      <w:r w:rsidRPr="00246786">
        <w:rPr>
          <w:snapToGrid w:val="0"/>
          <w:lang w:val="pt-PT"/>
        </w:rPr>
        <w:t>Não administrar a animais com compromet</w:t>
      </w:r>
      <w:r>
        <w:rPr>
          <w:snapToGrid w:val="0"/>
          <w:lang w:val="pt-PT"/>
        </w:rPr>
        <w:t xml:space="preserve">imento grave da função </w:t>
      </w:r>
      <w:r w:rsidRPr="00246786">
        <w:rPr>
          <w:snapToGrid w:val="0"/>
          <w:lang w:val="pt-PT"/>
        </w:rPr>
        <w:t>renal ou hepática.</w:t>
      </w:r>
    </w:p>
    <w:p w:rsidR="00CD2D0A" w:rsidRPr="00246786" w:rsidRDefault="00CD2D0A" w:rsidP="00CD2D0A">
      <w:pPr>
        <w:pStyle w:val="Datasheet3"/>
        <w:rPr>
          <w:snapToGrid w:val="0"/>
          <w:lang w:val="pt-PT"/>
        </w:rPr>
      </w:pPr>
    </w:p>
    <w:p w:rsidR="00CD2D0A" w:rsidRPr="00CD2D0A" w:rsidRDefault="00CD2D0A" w:rsidP="00CD2D0A">
      <w:pPr>
        <w:pStyle w:val="Datasheet2"/>
        <w:rPr>
          <w:snapToGrid w:val="0"/>
          <w:lang w:val="pt-PT"/>
        </w:rPr>
      </w:pPr>
      <w:r w:rsidRPr="00CD2D0A">
        <w:rPr>
          <w:snapToGrid w:val="0"/>
          <w:lang w:val="pt-PT"/>
        </w:rPr>
        <w:t>EFEITOS SECUNDÁRIOS:</w:t>
      </w:r>
    </w:p>
    <w:p w:rsidR="00CD2D0A" w:rsidRPr="004F1D3F" w:rsidRDefault="00CD2D0A" w:rsidP="004F1D3F">
      <w:pPr>
        <w:pStyle w:val="Datasheet3"/>
        <w:rPr>
          <w:snapToGrid w:val="0"/>
          <w:lang w:val="pt-PT"/>
        </w:rPr>
      </w:pPr>
      <w:r w:rsidRPr="004F1D3F">
        <w:rPr>
          <w:snapToGrid w:val="0"/>
          <w:lang w:val="pt-PT"/>
        </w:rPr>
        <w:t xml:space="preserve">Diminuição temporária da postura, </w:t>
      </w:r>
      <w:r w:rsidR="00B15C54" w:rsidRPr="004F1D3F">
        <w:rPr>
          <w:snapToGrid w:val="0"/>
          <w:lang w:val="pt-PT"/>
        </w:rPr>
        <w:t xml:space="preserve">ovos de casca mole e </w:t>
      </w:r>
      <w:r w:rsidRPr="004F1D3F">
        <w:rPr>
          <w:snapToGrid w:val="0"/>
          <w:lang w:val="pt-PT"/>
        </w:rPr>
        <w:t>reações de hipersensibilidade</w:t>
      </w:r>
      <w:r w:rsidR="00B15C54" w:rsidRPr="004F1D3F">
        <w:rPr>
          <w:color w:val="000000"/>
          <w:lang w:val="pt-PT"/>
        </w:rPr>
        <w:t xml:space="preserve"> pode ocorrer</w:t>
      </w:r>
      <w:r w:rsidRPr="004F1D3F">
        <w:rPr>
          <w:snapToGrid w:val="0"/>
          <w:lang w:val="pt-PT"/>
        </w:rPr>
        <w:t>.</w:t>
      </w:r>
    </w:p>
    <w:p w:rsidR="00CD2D0A" w:rsidRPr="004F1D3F" w:rsidRDefault="00CD2D0A" w:rsidP="004F1D3F">
      <w:pPr>
        <w:pStyle w:val="Datasheet3"/>
        <w:rPr>
          <w:snapToGrid w:val="0"/>
          <w:lang w:val="pt-PT"/>
        </w:rPr>
      </w:pPr>
    </w:p>
    <w:p w:rsidR="00CD2D0A" w:rsidRPr="004F1D3F" w:rsidRDefault="00CD2D0A" w:rsidP="004F1D3F">
      <w:pPr>
        <w:pStyle w:val="Datasheet2"/>
        <w:rPr>
          <w:snapToGrid w:val="0"/>
          <w:lang w:val="pt-PT"/>
        </w:rPr>
      </w:pPr>
      <w:r w:rsidRPr="004F1D3F">
        <w:rPr>
          <w:snapToGrid w:val="0"/>
          <w:lang w:val="pt-PT"/>
        </w:rPr>
        <w:t>INCOMPATIBILITY WITH OTHER DRUGS:</w:t>
      </w:r>
    </w:p>
    <w:p w:rsidR="00CD2D0A" w:rsidRPr="00CD2D0A" w:rsidRDefault="00CD2D0A" w:rsidP="00CD2D0A">
      <w:pPr>
        <w:pStyle w:val="Datasheet3"/>
        <w:rPr>
          <w:snapToGrid w:val="0"/>
          <w:lang w:val="pt-PT"/>
        </w:rPr>
      </w:pPr>
      <w:r w:rsidRPr="00CD2D0A">
        <w:rPr>
          <w:snapToGrid w:val="0"/>
          <w:lang w:val="pt-PT"/>
        </w:rPr>
        <w:t xml:space="preserve">Não combinar com antiácidos: podem diminuir a biodisponibilidade oral de </w:t>
      </w:r>
      <w:r w:rsidR="00446FCC">
        <w:rPr>
          <w:snapToGrid w:val="0"/>
          <w:lang w:val="pt-PT"/>
        </w:rPr>
        <w:t>CoxB3</w:t>
      </w:r>
      <w:r w:rsidR="00446FCC" w:rsidRPr="00CD2D0A">
        <w:rPr>
          <w:snapToGrid w:val="0"/>
          <w:lang w:val="pt-PT"/>
        </w:rPr>
        <w:t xml:space="preserve"> </w:t>
      </w:r>
      <w:r w:rsidRPr="00CD2D0A">
        <w:rPr>
          <w:snapToGrid w:val="0"/>
          <w:lang w:val="pt-PT"/>
        </w:rPr>
        <w:t>wsp quando administrados em conjunto.</w:t>
      </w:r>
    </w:p>
    <w:p w:rsidR="00CD2D0A" w:rsidRPr="00CD2D0A" w:rsidRDefault="00CD2D0A" w:rsidP="00CD2D0A">
      <w:pPr>
        <w:pStyle w:val="Datasheet3"/>
        <w:rPr>
          <w:snapToGrid w:val="0"/>
          <w:lang w:val="pt-PT"/>
        </w:rPr>
      </w:pPr>
    </w:p>
    <w:p w:rsidR="00CD2D0A" w:rsidRPr="00246786" w:rsidRDefault="00CD2D0A" w:rsidP="00CD2D0A">
      <w:pPr>
        <w:pStyle w:val="Datasheet2"/>
        <w:rPr>
          <w:snapToGrid w:val="0"/>
          <w:lang w:val="pt-PT"/>
        </w:rPr>
      </w:pPr>
      <w:r w:rsidRPr="00246786">
        <w:rPr>
          <w:snapToGrid w:val="0"/>
          <w:lang w:val="pt-PT"/>
        </w:rPr>
        <w:t>DOSAGEM E ADMINISTRAÇÃO:</w:t>
      </w:r>
    </w:p>
    <w:p w:rsidR="00CD2D0A" w:rsidRPr="00246786" w:rsidRDefault="00CD2D0A" w:rsidP="00CD2D0A">
      <w:pPr>
        <w:pStyle w:val="Datasheet3"/>
        <w:rPr>
          <w:snapToGrid w:val="0"/>
          <w:lang w:val="pt-PT"/>
        </w:rPr>
      </w:pPr>
      <w:r w:rsidRPr="00246786">
        <w:rPr>
          <w:snapToGrid w:val="0"/>
          <w:lang w:val="pt-PT"/>
        </w:rPr>
        <w:t>Deve ser administrado por via oral através da ração ou da água de bebida.</w:t>
      </w:r>
    </w:p>
    <w:p w:rsidR="00CD2D0A" w:rsidRPr="00246786" w:rsidRDefault="00CD2D0A" w:rsidP="00CD2D0A">
      <w:pPr>
        <w:pStyle w:val="Datasheet3"/>
        <w:tabs>
          <w:tab w:val="left" w:pos="1701"/>
        </w:tabs>
        <w:rPr>
          <w:snapToGrid w:val="0"/>
          <w:lang w:val="pt-PT"/>
        </w:rPr>
      </w:pPr>
      <w:r w:rsidRPr="00246786">
        <w:rPr>
          <w:snapToGrid w:val="0"/>
          <w:lang w:val="pt-PT"/>
        </w:rPr>
        <w:t>Aves domésticas</w:t>
      </w:r>
      <w:r w:rsidR="00446FCC">
        <w:rPr>
          <w:snapToGrid w:val="0"/>
          <w:lang w:val="pt-PT"/>
        </w:rPr>
        <w:t>, p</w:t>
      </w:r>
      <w:r w:rsidR="00446FCC" w:rsidRPr="00446FCC">
        <w:rPr>
          <w:snapToGrid w:val="0"/>
          <w:lang w:val="pt-PT"/>
        </w:rPr>
        <w:t>erus</w:t>
      </w:r>
      <w:r w:rsidRPr="00246786">
        <w:rPr>
          <w:snapToGrid w:val="0"/>
          <w:lang w:val="pt-PT"/>
        </w:rPr>
        <w:tab/>
        <w:t xml:space="preserve">: Cocidiose: </w:t>
      </w:r>
      <w:r w:rsidR="00D6616D">
        <w:rPr>
          <w:snapToGrid w:val="0"/>
          <w:lang w:val="pt-PT"/>
        </w:rPr>
        <w:tab/>
      </w:r>
      <w:r w:rsidR="00D6616D">
        <w:rPr>
          <w:snapToGrid w:val="0"/>
          <w:lang w:val="pt-PT"/>
        </w:rPr>
        <w:tab/>
      </w:r>
      <w:r w:rsidR="00D6616D">
        <w:rPr>
          <w:snapToGrid w:val="0"/>
          <w:lang w:val="pt-PT"/>
        </w:rPr>
        <w:tab/>
      </w:r>
      <w:smartTag w:uri="urn:schemas-microsoft-com:office:smarttags" w:element="metricconverter">
        <w:smartTagPr>
          <w:attr w:name="ProductID" w:val="100 g"/>
        </w:smartTagPr>
        <w:r w:rsidRPr="00246786">
          <w:rPr>
            <w:snapToGrid w:val="0"/>
            <w:lang w:val="pt-PT"/>
          </w:rPr>
          <w:t>100 g</w:t>
        </w:r>
      </w:smartTag>
      <w:r w:rsidRPr="00246786">
        <w:rPr>
          <w:snapToGrid w:val="0"/>
          <w:lang w:val="pt-PT"/>
        </w:rPr>
        <w:t xml:space="preserve"> por</w:t>
      </w:r>
      <w:r>
        <w:rPr>
          <w:snapToGrid w:val="0"/>
          <w:lang w:val="pt-PT"/>
        </w:rPr>
        <w:t xml:space="preserve"> cada</w:t>
      </w:r>
      <w:r w:rsidRPr="00246786">
        <w:rPr>
          <w:snapToGrid w:val="0"/>
          <w:lang w:val="pt-PT"/>
        </w:rPr>
        <w:t xml:space="preserve"> </w:t>
      </w:r>
      <w:smartTag w:uri="urn:schemas-microsoft-com:office:smarttags" w:element="metricconverter">
        <w:smartTagPr>
          <w:attr w:name="ProductID" w:val="100 litros"/>
        </w:smartTagPr>
        <w:r w:rsidRPr="00246786">
          <w:rPr>
            <w:snapToGrid w:val="0"/>
            <w:lang w:val="pt-PT"/>
          </w:rPr>
          <w:t>100 litros</w:t>
        </w:r>
      </w:smartTag>
      <w:r w:rsidRPr="00246786">
        <w:rPr>
          <w:snapToGrid w:val="0"/>
          <w:lang w:val="pt-PT"/>
        </w:rPr>
        <w:t xml:space="preserve"> de água de bebida durante 3 dias.</w:t>
      </w:r>
    </w:p>
    <w:p w:rsidR="00CD2D0A" w:rsidRPr="0007128A" w:rsidRDefault="00CD2D0A" w:rsidP="00CD2D0A">
      <w:pPr>
        <w:pStyle w:val="Datasheet3"/>
        <w:tabs>
          <w:tab w:val="left" w:pos="1701"/>
        </w:tabs>
        <w:rPr>
          <w:snapToGrid w:val="0"/>
          <w:lang w:val="pt-PT"/>
        </w:rPr>
      </w:pPr>
      <w:r w:rsidRPr="00246786">
        <w:rPr>
          <w:snapToGrid w:val="0"/>
          <w:lang w:val="pt-PT"/>
        </w:rPr>
        <w:tab/>
      </w:r>
      <w:r w:rsidR="004F1D3F">
        <w:rPr>
          <w:snapToGrid w:val="0"/>
          <w:lang w:val="pt-PT"/>
        </w:rPr>
        <w:tab/>
      </w:r>
      <w:r w:rsidRPr="00246786">
        <w:rPr>
          <w:snapToGrid w:val="0"/>
          <w:lang w:val="pt-PT"/>
        </w:rPr>
        <w:t xml:space="preserve">  </w:t>
      </w:r>
      <w:r w:rsidRPr="0007128A">
        <w:rPr>
          <w:snapToGrid w:val="0"/>
          <w:lang w:val="pt-PT"/>
        </w:rPr>
        <w:t xml:space="preserve">Salmonelose e pasteurelose: </w:t>
      </w:r>
      <w:r w:rsidR="00D6616D">
        <w:rPr>
          <w:snapToGrid w:val="0"/>
          <w:lang w:val="pt-PT"/>
        </w:rPr>
        <w:tab/>
      </w:r>
      <w:bookmarkStart w:id="0" w:name="_GoBack"/>
      <w:bookmarkEnd w:id="0"/>
      <w:smartTag w:uri="urn:schemas-microsoft-com:office:smarttags" w:element="metricconverter">
        <w:smartTagPr>
          <w:attr w:name="ProductID" w:val="100 g"/>
        </w:smartTagPr>
        <w:r w:rsidRPr="0007128A">
          <w:rPr>
            <w:snapToGrid w:val="0"/>
            <w:lang w:val="pt-PT"/>
          </w:rPr>
          <w:t>100 g</w:t>
        </w:r>
      </w:smartTag>
      <w:r w:rsidRPr="0007128A">
        <w:rPr>
          <w:snapToGrid w:val="0"/>
          <w:lang w:val="pt-PT"/>
        </w:rPr>
        <w:t xml:space="preserve"> por cada </w:t>
      </w:r>
      <w:smartTag w:uri="urn:schemas-microsoft-com:office:smarttags" w:element="metricconverter">
        <w:smartTagPr>
          <w:attr w:name="ProductID" w:val="100 litros"/>
        </w:smartTagPr>
        <w:r w:rsidRPr="0007128A">
          <w:rPr>
            <w:snapToGrid w:val="0"/>
            <w:lang w:val="pt-PT"/>
          </w:rPr>
          <w:t>100 litros</w:t>
        </w:r>
      </w:smartTag>
      <w:r w:rsidRPr="0007128A">
        <w:rPr>
          <w:snapToGrid w:val="0"/>
          <w:lang w:val="pt-PT"/>
        </w:rPr>
        <w:t xml:space="preserve"> de </w:t>
      </w:r>
      <w:r w:rsidR="004F1D3F">
        <w:rPr>
          <w:snapToGrid w:val="0"/>
          <w:lang w:val="pt-PT"/>
        </w:rPr>
        <w:t>água de bebida durante 5 dias.</w:t>
      </w:r>
    </w:p>
    <w:p w:rsidR="00CD2D0A" w:rsidRPr="00CD2D0A" w:rsidRDefault="00446FCC" w:rsidP="00CD2D0A">
      <w:pPr>
        <w:pStyle w:val="Datasheet3"/>
        <w:rPr>
          <w:snapToGrid w:val="0"/>
          <w:lang w:val="pt-PT"/>
        </w:rPr>
      </w:pPr>
      <w:r w:rsidRPr="00446FCC">
        <w:rPr>
          <w:snapToGrid w:val="0"/>
          <w:lang w:val="pt-PT"/>
        </w:rPr>
        <w:t>A água de bebida medicada deve ser utilizada dentro de 24 horas.</w:t>
      </w:r>
      <w:r w:rsidR="004F1D3F">
        <w:rPr>
          <w:snapToGrid w:val="0"/>
          <w:lang w:val="pt-PT"/>
        </w:rPr>
        <w:t xml:space="preserve"> </w:t>
      </w:r>
      <w:r w:rsidR="00CD2D0A" w:rsidRPr="00246786">
        <w:rPr>
          <w:snapToGrid w:val="0"/>
          <w:lang w:val="pt-PT"/>
        </w:rPr>
        <w:t xml:space="preserve">Em caso de coccidiose em aves domésticas: caso não se observe melhoria no prazo de 3 dias, avalie os sintomas para determinar a presença de outras doenças. </w:t>
      </w:r>
      <w:r w:rsidR="00CD2D0A" w:rsidRPr="00CD2D0A">
        <w:rPr>
          <w:snapToGrid w:val="0"/>
          <w:lang w:val="pt-PT"/>
        </w:rPr>
        <w:t>Siga as instruções do seu veterinário ou patologista de aves.</w:t>
      </w:r>
    </w:p>
    <w:p w:rsidR="00CD2D0A" w:rsidRPr="00CD2D0A" w:rsidRDefault="00CD2D0A" w:rsidP="00CD2D0A">
      <w:pPr>
        <w:pStyle w:val="Datasheet3"/>
        <w:rPr>
          <w:snapToGrid w:val="0"/>
          <w:lang w:val="pt-PT"/>
        </w:rPr>
      </w:pPr>
    </w:p>
    <w:p w:rsidR="00CD2D0A" w:rsidRPr="00246786" w:rsidRDefault="00CD2D0A" w:rsidP="00CD2D0A">
      <w:pPr>
        <w:pStyle w:val="Datasheet2"/>
        <w:rPr>
          <w:snapToGrid w:val="0"/>
          <w:lang w:val="pt-PT"/>
        </w:rPr>
      </w:pPr>
      <w:r w:rsidRPr="00246786">
        <w:rPr>
          <w:snapToGrid w:val="0"/>
          <w:lang w:val="pt-PT"/>
        </w:rPr>
        <w:t>INTERVALO DE SEGURANÇA:</w:t>
      </w:r>
    </w:p>
    <w:p w:rsidR="00CD2D0A" w:rsidRPr="00246786" w:rsidRDefault="00CD2D0A" w:rsidP="00CD2D0A">
      <w:pPr>
        <w:pStyle w:val="Datasheet3"/>
        <w:tabs>
          <w:tab w:val="left" w:pos="1701"/>
        </w:tabs>
        <w:rPr>
          <w:snapToGrid w:val="0"/>
          <w:lang w:val="pt-PT"/>
        </w:rPr>
      </w:pPr>
      <w:r w:rsidRPr="00246786">
        <w:rPr>
          <w:snapToGrid w:val="0"/>
          <w:lang w:val="pt-PT"/>
        </w:rPr>
        <w:t>Carne</w:t>
      </w:r>
      <w:r w:rsidRPr="00246786">
        <w:rPr>
          <w:snapToGrid w:val="0"/>
          <w:lang w:val="pt-PT"/>
        </w:rPr>
        <w:tab/>
        <w:t xml:space="preserve">: 7 </w:t>
      </w:r>
      <w:r>
        <w:rPr>
          <w:snapToGrid w:val="0"/>
          <w:lang w:val="pt-PT"/>
        </w:rPr>
        <w:t>dias</w:t>
      </w:r>
    </w:p>
    <w:p w:rsidR="00CD2D0A" w:rsidRPr="00246786" w:rsidRDefault="00CD2D0A" w:rsidP="00CD2D0A">
      <w:pPr>
        <w:pStyle w:val="Datasheet3"/>
        <w:tabs>
          <w:tab w:val="left" w:pos="1701"/>
        </w:tabs>
        <w:rPr>
          <w:snapToGrid w:val="0"/>
          <w:lang w:val="pt-PT"/>
        </w:rPr>
      </w:pPr>
      <w:r w:rsidRPr="00246786">
        <w:rPr>
          <w:snapToGrid w:val="0"/>
          <w:lang w:val="pt-PT"/>
        </w:rPr>
        <w:t>Ovos</w:t>
      </w:r>
      <w:r w:rsidRPr="00246786">
        <w:rPr>
          <w:snapToGrid w:val="0"/>
          <w:lang w:val="pt-PT"/>
        </w:rPr>
        <w:tab/>
        <w:t xml:space="preserve">: 3 </w:t>
      </w:r>
      <w:r>
        <w:rPr>
          <w:snapToGrid w:val="0"/>
          <w:lang w:val="pt-PT"/>
        </w:rPr>
        <w:t>dias</w:t>
      </w:r>
    </w:p>
    <w:p w:rsidR="00CD2D0A" w:rsidRPr="00246786" w:rsidRDefault="00CD2D0A" w:rsidP="00CD2D0A">
      <w:pPr>
        <w:pStyle w:val="Datasheet3"/>
        <w:rPr>
          <w:snapToGrid w:val="0"/>
          <w:lang w:val="pt-PT"/>
        </w:rPr>
      </w:pPr>
    </w:p>
    <w:p w:rsidR="00CD2D0A" w:rsidRPr="00CD2D0A" w:rsidRDefault="00CD2D0A" w:rsidP="00CD2D0A">
      <w:pPr>
        <w:pStyle w:val="Datasheet2"/>
        <w:rPr>
          <w:snapToGrid w:val="0"/>
          <w:lang w:val="pt-PT"/>
        </w:rPr>
      </w:pPr>
      <w:r w:rsidRPr="00CD2D0A">
        <w:rPr>
          <w:snapToGrid w:val="0"/>
          <w:lang w:val="pt-PT"/>
        </w:rPr>
        <w:t>CONSERVAÇÃO:</w:t>
      </w:r>
    </w:p>
    <w:p w:rsidR="00CD2D0A" w:rsidRPr="00246786" w:rsidRDefault="00CD2D0A" w:rsidP="00CD2D0A">
      <w:pPr>
        <w:pStyle w:val="Datasheet3"/>
        <w:rPr>
          <w:snapToGrid w:val="0"/>
          <w:lang w:val="pt-PT"/>
        </w:rPr>
      </w:pPr>
      <w:r w:rsidRPr="00246786">
        <w:rPr>
          <w:snapToGrid w:val="0"/>
          <w:lang w:val="pt-PT"/>
        </w:rPr>
        <w:t>Guardar em local seco e escuro com temperaturas entre 2 °C e 25 °C.</w:t>
      </w:r>
    </w:p>
    <w:p w:rsidR="00CD2D0A" w:rsidRPr="0007128A" w:rsidRDefault="00CD2D0A" w:rsidP="00CD2D0A">
      <w:pPr>
        <w:pStyle w:val="Datasheet3"/>
        <w:rPr>
          <w:snapToGrid w:val="0"/>
          <w:lang w:val="pt-PT"/>
        </w:rPr>
      </w:pPr>
      <w:r w:rsidRPr="0007128A">
        <w:rPr>
          <w:snapToGrid w:val="0"/>
          <w:lang w:val="pt-PT"/>
        </w:rPr>
        <w:t>Manter a embalagem fechada.</w:t>
      </w:r>
    </w:p>
    <w:p w:rsidR="00CD2D0A" w:rsidRPr="0007128A" w:rsidRDefault="00CD2D0A" w:rsidP="00CD2D0A">
      <w:pPr>
        <w:pStyle w:val="Datasheet3"/>
        <w:rPr>
          <w:snapToGrid w:val="0"/>
          <w:lang w:val="pt-PT"/>
        </w:rPr>
      </w:pPr>
      <w:r w:rsidRPr="0007128A">
        <w:rPr>
          <w:snapToGrid w:val="0"/>
          <w:lang w:val="pt-PT"/>
        </w:rPr>
        <w:t>Manter o medicamento fora do alcance das crianças.</w:t>
      </w:r>
    </w:p>
    <w:p w:rsidR="00CD2D0A" w:rsidRPr="0007128A" w:rsidRDefault="00CD2D0A" w:rsidP="00CD2D0A">
      <w:pPr>
        <w:pStyle w:val="Datasheet3"/>
        <w:rPr>
          <w:snapToGrid w:val="0"/>
          <w:lang w:val="pt-PT"/>
        </w:rPr>
      </w:pPr>
    </w:p>
    <w:p w:rsidR="00CD2D0A" w:rsidRPr="0007128A" w:rsidRDefault="00CD2D0A" w:rsidP="00CD2D0A">
      <w:pPr>
        <w:pStyle w:val="Datasheet2"/>
        <w:rPr>
          <w:snapToGrid w:val="0"/>
          <w:lang w:val="pt-PT"/>
        </w:rPr>
      </w:pPr>
      <w:r w:rsidRPr="0007128A">
        <w:rPr>
          <w:snapToGrid w:val="0"/>
          <w:lang w:val="pt-PT"/>
        </w:rPr>
        <w:t>APRESENTAÇÃO:</w:t>
      </w:r>
    </w:p>
    <w:p w:rsidR="00CD2D0A" w:rsidRPr="004F1D3F" w:rsidRDefault="00CD2D0A" w:rsidP="004F1D3F">
      <w:pPr>
        <w:pStyle w:val="Datasheet3"/>
        <w:rPr>
          <w:snapToGrid w:val="0"/>
          <w:lang w:val="pt-PT"/>
        </w:rPr>
      </w:pPr>
      <w:r w:rsidRPr="004F1D3F">
        <w:rPr>
          <w:snapToGrid w:val="0"/>
          <w:lang w:val="pt-PT"/>
        </w:rPr>
        <w:t>Saqueta de 100 g (120 saquetas por caixa).</w:t>
      </w:r>
    </w:p>
    <w:p w:rsidR="00290418" w:rsidRPr="004F1D3F" w:rsidRDefault="00CD2D0A" w:rsidP="004F1D3F">
      <w:pPr>
        <w:pStyle w:val="Datasheet3"/>
        <w:rPr>
          <w:lang w:val="pt-PT"/>
        </w:rPr>
      </w:pPr>
      <w:r w:rsidRPr="004F1D3F">
        <w:rPr>
          <w:snapToGrid w:val="0"/>
          <w:lang w:val="pt-PT"/>
        </w:rPr>
        <w:t>Frasco PE-Pharma de 500 / 1.000 g (12 frascos por caixa).</w:t>
      </w:r>
    </w:p>
    <w:sectPr w:rsidR="00290418" w:rsidRPr="004F1D3F" w:rsidSect="000D0367">
      <w:headerReference w:type="default" r:id="rId7"/>
      <w:footerReference w:type="default" r:id="rId8"/>
      <w:pgSz w:w="11906" w:h="16838"/>
      <w:pgMar w:top="2552" w:right="851" w:bottom="851" w:left="85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1D93" w:rsidRDefault="00B15C54">
      <w:r>
        <w:separator/>
      </w:r>
    </w:p>
  </w:endnote>
  <w:endnote w:type="continuationSeparator" w:id="0">
    <w:p w:rsidR="00571D93" w:rsidRDefault="00B15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128A" w:rsidRPr="00895B6A" w:rsidRDefault="003A1F28" w:rsidP="00895B6A">
    <w:pPr>
      <w:pStyle w:val="Voettekst"/>
      <w:jc w:val="right"/>
      <w:rPr>
        <w:sz w:val="16"/>
        <w:lang w:val="en-GB"/>
      </w:rPr>
    </w:pPr>
    <w:fldSimple w:instr=" FILENAME   \* MERGEFORMAT ">
      <w:r w:rsidRPr="003A1F28">
        <w:rPr>
          <w:noProof/>
          <w:sz w:val="16"/>
          <w:lang w:val="en-GB"/>
        </w:rPr>
        <w:t>COXB3 wsp_0385_POR v1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1D93" w:rsidRDefault="00B15C54">
      <w:r>
        <w:separator/>
      </w:r>
    </w:p>
  </w:footnote>
  <w:footnote w:type="continuationSeparator" w:id="0">
    <w:p w:rsidR="00571D93" w:rsidRDefault="00B15C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128A" w:rsidRDefault="00446FCC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F5E6102" wp14:editId="22BC6EA8">
          <wp:simplePos x="0" y="0"/>
          <wp:positionH relativeFrom="column">
            <wp:posOffset>3810</wp:posOffset>
          </wp:positionH>
          <wp:positionV relativeFrom="paragraph">
            <wp:posOffset>0</wp:posOffset>
          </wp:positionV>
          <wp:extent cx="952500" cy="971550"/>
          <wp:effectExtent l="0" t="0" r="0" b="0"/>
          <wp:wrapSquare wrapText="bothSides"/>
          <wp:docPr id="1" name="Afbeelding 2" descr="kepro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kepro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971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D0A"/>
    <w:rsid w:val="00290418"/>
    <w:rsid w:val="003A1F28"/>
    <w:rsid w:val="00446FCC"/>
    <w:rsid w:val="004F1D3F"/>
    <w:rsid w:val="00571D93"/>
    <w:rsid w:val="00B15C54"/>
    <w:rsid w:val="00CD2D0A"/>
    <w:rsid w:val="00D66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2D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CD2D0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D2D0A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rsid w:val="00CD2D0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D2D0A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customStyle="1" w:styleId="Datasheet1">
    <w:name w:val="Datasheet 1"/>
    <w:basedOn w:val="Standaard"/>
    <w:link w:val="Datasheet1Char"/>
    <w:qFormat/>
    <w:rsid w:val="00CD2D0A"/>
    <w:rPr>
      <w:b/>
      <w:snapToGrid w:val="0"/>
      <w:sz w:val="28"/>
      <w:lang w:val="en-GB"/>
    </w:rPr>
  </w:style>
  <w:style w:type="character" w:customStyle="1" w:styleId="Datasheet1Char">
    <w:name w:val="Datasheet 1 Char"/>
    <w:link w:val="Datasheet1"/>
    <w:locked/>
    <w:rsid w:val="00CD2D0A"/>
    <w:rPr>
      <w:rFonts w:ascii="Times New Roman" w:eastAsia="Times New Roman" w:hAnsi="Times New Roman" w:cs="Times New Roman"/>
      <w:b/>
      <w:snapToGrid w:val="0"/>
      <w:sz w:val="28"/>
      <w:szCs w:val="20"/>
      <w:lang w:val="en-GB" w:eastAsia="nl-NL"/>
    </w:rPr>
  </w:style>
  <w:style w:type="paragraph" w:customStyle="1" w:styleId="Datasheet2">
    <w:name w:val="Datasheet 2"/>
    <w:basedOn w:val="Standaard"/>
    <w:link w:val="Datasheet2Char"/>
    <w:qFormat/>
    <w:rsid w:val="00CD2D0A"/>
    <w:rPr>
      <w:b/>
      <w:lang w:val="en-GB"/>
    </w:rPr>
  </w:style>
  <w:style w:type="character" w:customStyle="1" w:styleId="Datasheet2Char">
    <w:name w:val="Datasheet 2 Char"/>
    <w:link w:val="Datasheet2"/>
    <w:locked/>
    <w:rsid w:val="00CD2D0A"/>
    <w:rPr>
      <w:rFonts w:ascii="Times New Roman" w:eastAsia="Times New Roman" w:hAnsi="Times New Roman" w:cs="Times New Roman"/>
      <w:b/>
      <w:sz w:val="20"/>
      <w:szCs w:val="20"/>
      <w:lang w:val="en-GB" w:eastAsia="nl-NL"/>
    </w:rPr>
  </w:style>
  <w:style w:type="paragraph" w:customStyle="1" w:styleId="Datasheet3">
    <w:name w:val="Datasheet 3"/>
    <w:basedOn w:val="Standaard"/>
    <w:link w:val="Datasheet3Char"/>
    <w:qFormat/>
    <w:rsid w:val="00CD2D0A"/>
    <w:rPr>
      <w:lang w:val="en-GB"/>
    </w:rPr>
  </w:style>
  <w:style w:type="character" w:customStyle="1" w:styleId="Datasheet3Char">
    <w:name w:val="Datasheet 3 Char"/>
    <w:link w:val="Datasheet3"/>
    <w:locked/>
    <w:rsid w:val="00CD2D0A"/>
    <w:rPr>
      <w:rFonts w:ascii="Times New Roman" w:eastAsia="Times New Roman" w:hAnsi="Times New Roman" w:cs="Times New Roman"/>
      <w:sz w:val="20"/>
      <w:szCs w:val="20"/>
      <w:lang w:val="en-GB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15C5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15C54"/>
    <w:rPr>
      <w:rFonts w:ascii="Tahoma" w:eastAsia="Times New Roman" w:hAnsi="Tahoma" w:cs="Tahoma"/>
      <w:sz w:val="16"/>
      <w:szCs w:val="16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2D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CD2D0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D2D0A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rsid w:val="00CD2D0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D2D0A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customStyle="1" w:styleId="Datasheet1">
    <w:name w:val="Datasheet 1"/>
    <w:basedOn w:val="Standaard"/>
    <w:link w:val="Datasheet1Char"/>
    <w:qFormat/>
    <w:rsid w:val="00CD2D0A"/>
    <w:rPr>
      <w:b/>
      <w:snapToGrid w:val="0"/>
      <w:sz w:val="28"/>
      <w:lang w:val="en-GB"/>
    </w:rPr>
  </w:style>
  <w:style w:type="character" w:customStyle="1" w:styleId="Datasheet1Char">
    <w:name w:val="Datasheet 1 Char"/>
    <w:link w:val="Datasheet1"/>
    <w:locked/>
    <w:rsid w:val="00CD2D0A"/>
    <w:rPr>
      <w:rFonts w:ascii="Times New Roman" w:eastAsia="Times New Roman" w:hAnsi="Times New Roman" w:cs="Times New Roman"/>
      <w:b/>
      <w:snapToGrid w:val="0"/>
      <w:sz w:val="28"/>
      <w:szCs w:val="20"/>
      <w:lang w:val="en-GB" w:eastAsia="nl-NL"/>
    </w:rPr>
  </w:style>
  <w:style w:type="paragraph" w:customStyle="1" w:styleId="Datasheet2">
    <w:name w:val="Datasheet 2"/>
    <w:basedOn w:val="Standaard"/>
    <w:link w:val="Datasheet2Char"/>
    <w:qFormat/>
    <w:rsid w:val="00CD2D0A"/>
    <w:rPr>
      <w:b/>
      <w:lang w:val="en-GB"/>
    </w:rPr>
  </w:style>
  <w:style w:type="character" w:customStyle="1" w:styleId="Datasheet2Char">
    <w:name w:val="Datasheet 2 Char"/>
    <w:link w:val="Datasheet2"/>
    <w:locked/>
    <w:rsid w:val="00CD2D0A"/>
    <w:rPr>
      <w:rFonts w:ascii="Times New Roman" w:eastAsia="Times New Roman" w:hAnsi="Times New Roman" w:cs="Times New Roman"/>
      <w:b/>
      <w:sz w:val="20"/>
      <w:szCs w:val="20"/>
      <w:lang w:val="en-GB" w:eastAsia="nl-NL"/>
    </w:rPr>
  </w:style>
  <w:style w:type="paragraph" w:customStyle="1" w:styleId="Datasheet3">
    <w:name w:val="Datasheet 3"/>
    <w:basedOn w:val="Standaard"/>
    <w:link w:val="Datasheet3Char"/>
    <w:qFormat/>
    <w:rsid w:val="00CD2D0A"/>
    <w:rPr>
      <w:lang w:val="en-GB"/>
    </w:rPr>
  </w:style>
  <w:style w:type="character" w:customStyle="1" w:styleId="Datasheet3Char">
    <w:name w:val="Datasheet 3 Char"/>
    <w:link w:val="Datasheet3"/>
    <w:locked/>
    <w:rsid w:val="00CD2D0A"/>
    <w:rPr>
      <w:rFonts w:ascii="Times New Roman" w:eastAsia="Times New Roman" w:hAnsi="Times New Roman" w:cs="Times New Roman"/>
      <w:sz w:val="20"/>
      <w:szCs w:val="20"/>
      <w:lang w:val="en-GB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15C5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15C54"/>
    <w:rPr>
      <w:rFonts w:ascii="Tahoma" w:eastAsia="Times New Roman" w:hAnsi="Tahoma" w:cs="Tahoma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229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509F4FF5</Template>
  <TotalTime>0</TotalTime>
  <Pages>1</Pages>
  <Words>313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Nathalie Bourgonje</dc:creator>
  <cp:lastModifiedBy>Lotte van de Schepop</cp:lastModifiedBy>
  <cp:revision>4</cp:revision>
  <dcterms:created xsi:type="dcterms:W3CDTF">2016-10-24T09:05:00Z</dcterms:created>
  <dcterms:modified xsi:type="dcterms:W3CDTF">2016-10-27T07:08:00Z</dcterms:modified>
</cp:coreProperties>
</file>